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46C6" w:rsidRPr="00CE46C6" w:rsidRDefault="00CE46C6" w:rsidP="00CE46C6">
      <w:pPr>
        <w:spacing w:line="480" w:lineRule="auto"/>
        <w:rPr>
          <w:rFonts w:ascii="Times New Roman" w:hAnsi="Times New Roman" w:cs="Times New Roman"/>
          <w:sz w:val="24"/>
          <w:szCs w:val="24"/>
        </w:rPr>
      </w:pPr>
    </w:p>
    <w:p w:rsidR="00CE46C6" w:rsidRPr="00CE46C6" w:rsidRDefault="00CE46C6" w:rsidP="00CE46C6">
      <w:pPr>
        <w:spacing w:line="480" w:lineRule="auto"/>
        <w:rPr>
          <w:rFonts w:ascii="Times New Roman" w:hAnsi="Times New Roman" w:cs="Times New Roman"/>
          <w:sz w:val="24"/>
          <w:szCs w:val="24"/>
        </w:rPr>
      </w:pPr>
    </w:p>
    <w:p w:rsidR="00CE46C6" w:rsidRPr="00CE46C6" w:rsidRDefault="00CE46C6" w:rsidP="00CE46C6">
      <w:pPr>
        <w:spacing w:line="480" w:lineRule="auto"/>
        <w:rPr>
          <w:rFonts w:ascii="Times New Roman" w:hAnsi="Times New Roman" w:cs="Times New Roman"/>
          <w:sz w:val="24"/>
          <w:szCs w:val="24"/>
        </w:rPr>
      </w:pPr>
    </w:p>
    <w:p w:rsidR="00CE46C6" w:rsidRPr="00CE46C6" w:rsidRDefault="009E1E91" w:rsidP="00CE46C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00BE3718" w:rsidRPr="00CE46C6">
        <w:rPr>
          <w:rFonts w:ascii="Times New Roman" w:hAnsi="Times New Roman" w:cs="Times New Roman"/>
          <w:sz w:val="24"/>
          <w:szCs w:val="24"/>
        </w:rPr>
        <w:t>Birmingham</w:t>
      </w:r>
      <w:r>
        <w:rPr>
          <w:rFonts w:ascii="Times New Roman" w:hAnsi="Times New Roman" w:cs="Times New Roman"/>
          <w:sz w:val="24"/>
          <w:szCs w:val="24"/>
        </w:rPr>
        <w:t xml:space="preserve"> Letter</w:t>
      </w:r>
    </w:p>
    <w:p w:rsidR="00CE46C6" w:rsidRPr="00CE46C6" w:rsidRDefault="00BE3718" w:rsidP="00CE46C6">
      <w:pPr>
        <w:spacing w:line="480" w:lineRule="auto"/>
        <w:jc w:val="center"/>
        <w:rPr>
          <w:rFonts w:ascii="Times New Roman" w:hAnsi="Times New Roman" w:cs="Times New Roman"/>
          <w:sz w:val="24"/>
          <w:szCs w:val="24"/>
        </w:rPr>
      </w:pPr>
      <w:r w:rsidRPr="00CE46C6">
        <w:rPr>
          <w:rFonts w:ascii="Times New Roman" w:hAnsi="Times New Roman" w:cs="Times New Roman"/>
          <w:sz w:val="24"/>
          <w:szCs w:val="24"/>
        </w:rPr>
        <w:t>Students’ name</w:t>
      </w:r>
    </w:p>
    <w:p w:rsidR="00CE46C6" w:rsidRPr="00CE46C6" w:rsidRDefault="00BE3718" w:rsidP="00CE46C6">
      <w:pPr>
        <w:spacing w:line="480" w:lineRule="auto"/>
        <w:jc w:val="center"/>
        <w:rPr>
          <w:rFonts w:ascii="Times New Roman" w:hAnsi="Times New Roman" w:cs="Times New Roman"/>
          <w:sz w:val="24"/>
          <w:szCs w:val="24"/>
        </w:rPr>
      </w:pPr>
      <w:r w:rsidRPr="00CE46C6">
        <w:rPr>
          <w:rFonts w:ascii="Times New Roman" w:hAnsi="Times New Roman" w:cs="Times New Roman"/>
          <w:sz w:val="24"/>
          <w:szCs w:val="24"/>
        </w:rPr>
        <w:t>Institution Affiliation</w:t>
      </w:r>
    </w:p>
    <w:p w:rsidR="00CE46C6" w:rsidRPr="00CE46C6" w:rsidRDefault="00BE3718" w:rsidP="00CE46C6">
      <w:pPr>
        <w:spacing w:line="480" w:lineRule="auto"/>
        <w:jc w:val="center"/>
        <w:rPr>
          <w:rFonts w:ascii="Times New Roman" w:hAnsi="Times New Roman" w:cs="Times New Roman"/>
          <w:sz w:val="24"/>
          <w:szCs w:val="24"/>
        </w:rPr>
      </w:pPr>
      <w:r w:rsidRPr="00CE46C6">
        <w:rPr>
          <w:rFonts w:ascii="Times New Roman" w:hAnsi="Times New Roman" w:cs="Times New Roman"/>
          <w:sz w:val="24"/>
          <w:szCs w:val="24"/>
        </w:rPr>
        <w:t>Date of Submission</w:t>
      </w:r>
    </w:p>
    <w:p w:rsidR="00CE46C6" w:rsidRPr="00CE46C6" w:rsidRDefault="00CE46C6" w:rsidP="00CE46C6">
      <w:pPr>
        <w:spacing w:line="480" w:lineRule="auto"/>
        <w:rPr>
          <w:rFonts w:ascii="Times New Roman" w:hAnsi="Times New Roman" w:cs="Times New Roman"/>
          <w:sz w:val="24"/>
          <w:szCs w:val="24"/>
        </w:rPr>
      </w:pPr>
    </w:p>
    <w:p w:rsidR="00CE46C6" w:rsidRPr="00CE46C6" w:rsidRDefault="00CE46C6" w:rsidP="00CE46C6">
      <w:pPr>
        <w:spacing w:line="480" w:lineRule="auto"/>
        <w:rPr>
          <w:rFonts w:ascii="Times New Roman" w:hAnsi="Times New Roman" w:cs="Times New Roman"/>
          <w:sz w:val="24"/>
          <w:szCs w:val="24"/>
        </w:rPr>
      </w:pPr>
    </w:p>
    <w:p w:rsidR="00CE46C6" w:rsidRPr="00CE46C6" w:rsidRDefault="00CE46C6" w:rsidP="00CE46C6">
      <w:pPr>
        <w:spacing w:line="480" w:lineRule="auto"/>
        <w:rPr>
          <w:rFonts w:ascii="Times New Roman" w:hAnsi="Times New Roman" w:cs="Times New Roman"/>
          <w:sz w:val="24"/>
          <w:szCs w:val="24"/>
        </w:rPr>
      </w:pPr>
    </w:p>
    <w:p w:rsidR="00CE46C6" w:rsidRPr="00CE46C6" w:rsidRDefault="00CE46C6" w:rsidP="00CE46C6">
      <w:pPr>
        <w:spacing w:line="480" w:lineRule="auto"/>
        <w:rPr>
          <w:rFonts w:ascii="Times New Roman" w:hAnsi="Times New Roman" w:cs="Times New Roman"/>
          <w:sz w:val="24"/>
          <w:szCs w:val="24"/>
        </w:rPr>
      </w:pPr>
    </w:p>
    <w:p w:rsidR="00CE46C6" w:rsidRPr="00CE46C6" w:rsidRDefault="00CE46C6" w:rsidP="00CE46C6">
      <w:pPr>
        <w:spacing w:line="480" w:lineRule="auto"/>
        <w:rPr>
          <w:rFonts w:ascii="Times New Roman" w:hAnsi="Times New Roman" w:cs="Times New Roman"/>
          <w:sz w:val="24"/>
          <w:szCs w:val="24"/>
        </w:rPr>
      </w:pPr>
    </w:p>
    <w:p w:rsidR="00CE46C6" w:rsidRPr="00CE46C6" w:rsidRDefault="00CE46C6" w:rsidP="00CE46C6">
      <w:pPr>
        <w:spacing w:line="480" w:lineRule="auto"/>
        <w:rPr>
          <w:rFonts w:ascii="Times New Roman" w:hAnsi="Times New Roman" w:cs="Times New Roman"/>
          <w:sz w:val="24"/>
          <w:szCs w:val="24"/>
        </w:rPr>
      </w:pPr>
    </w:p>
    <w:p w:rsidR="00CE46C6" w:rsidRPr="00CE46C6" w:rsidRDefault="00CE46C6" w:rsidP="00CE46C6">
      <w:pPr>
        <w:spacing w:line="480" w:lineRule="auto"/>
        <w:rPr>
          <w:rFonts w:ascii="Times New Roman" w:hAnsi="Times New Roman" w:cs="Times New Roman"/>
          <w:sz w:val="24"/>
          <w:szCs w:val="24"/>
        </w:rPr>
      </w:pPr>
    </w:p>
    <w:p w:rsidR="00CE46C6" w:rsidRPr="00CE46C6" w:rsidRDefault="00CE46C6" w:rsidP="00CE46C6">
      <w:pPr>
        <w:spacing w:line="480" w:lineRule="auto"/>
        <w:rPr>
          <w:rFonts w:ascii="Times New Roman" w:hAnsi="Times New Roman" w:cs="Times New Roman"/>
          <w:sz w:val="24"/>
          <w:szCs w:val="24"/>
        </w:rPr>
      </w:pPr>
    </w:p>
    <w:p w:rsidR="00CE46C6" w:rsidRPr="00CE46C6" w:rsidRDefault="00CE46C6" w:rsidP="00CE46C6">
      <w:pPr>
        <w:spacing w:line="480" w:lineRule="auto"/>
        <w:rPr>
          <w:rFonts w:ascii="Times New Roman" w:hAnsi="Times New Roman" w:cs="Times New Roman"/>
          <w:sz w:val="24"/>
          <w:szCs w:val="24"/>
        </w:rPr>
      </w:pPr>
    </w:p>
    <w:p w:rsidR="00CE46C6" w:rsidRPr="00CE46C6" w:rsidRDefault="00CE46C6" w:rsidP="00CE46C6">
      <w:pPr>
        <w:tabs>
          <w:tab w:val="left" w:pos="5265"/>
        </w:tabs>
        <w:spacing w:line="480" w:lineRule="auto"/>
        <w:rPr>
          <w:rFonts w:ascii="Times New Roman" w:hAnsi="Times New Roman" w:cs="Times New Roman"/>
          <w:sz w:val="24"/>
          <w:szCs w:val="24"/>
        </w:rPr>
      </w:pPr>
    </w:p>
    <w:p w:rsidR="00CE46C6" w:rsidRPr="00CE46C6" w:rsidRDefault="00CE46C6" w:rsidP="00CE46C6">
      <w:pPr>
        <w:spacing w:line="480" w:lineRule="auto"/>
        <w:rPr>
          <w:rFonts w:ascii="Times New Roman" w:hAnsi="Times New Roman" w:cs="Times New Roman"/>
          <w:sz w:val="24"/>
          <w:szCs w:val="24"/>
        </w:rPr>
      </w:pPr>
    </w:p>
    <w:p w:rsidR="00CE46C6" w:rsidRPr="00F01CD2" w:rsidRDefault="009E1E91" w:rsidP="00CE46C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The</w:t>
      </w:r>
      <w:r w:rsidR="00BE3718" w:rsidRPr="00F01CD2">
        <w:rPr>
          <w:rFonts w:ascii="Times New Roman" w:hAnsi="Times New Roman" w:cs="Times New Roman"/>
          <w:b/>
          <w:sz w:val="24"/>
          <w:szCs w:val="24"/>
        </w:rPr>
        <w:t xml:space="preserve"> Birmingham</w:t>
      </w:r>
      <w:r>
        <w:rPr>
          <w:rFonts w:ascii="Times New Roman" w:hAnsi="Times New Roman" w:cs="Times New Roman"/>
          <w:b/>
          <w:sz w:val="24"/>
          <w:szCs w:val="24"/>
        </w:rPr>
        <w:t xml:space="preserve"> Jail Letter</w:t>
      </w:r>
    </w:p>
    <w:p w:rsidR="00CE46C6" w:rsidRPr="00CE46C6" w:rsidRDefault="009E1E91" w:rsidP="00CE46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was an open letter written by </w:t>
      </w:r>
      <w:r w:rsidR="00BE3718" w:rsidRPr="00CE46C6">
        <w:rPr>
          <w:rFonts w:ascii="Times New Roman" w:hAnsi="Times New Roman" w:cs="Times New Roman"/>
          <w:sz w:val="24"/>
          <w:szCs w:val="24"/>
        </w:rPr>
        <w:t>Dr. Martin Luth</w:t>
      </w:r>
      <w:r>
        <w:rPr>
          <w:rFonts w:ascii="Times New Roman" w:hAnsi="Times New Roman" w:cs="Times New Roman"/>
          <w:sz w:val="24"/>
          <w:szCs w:val="24"/>
        </w:rPr>
        <w:t>er King</w:t>
      </w:r>
      <w:r w:rsidR="00BE3718" w:rsidRPr="00CE46C6">
        <w:rPr>
          <w:rFonts w:ascii="Times New Roman" w:hAnsi="Times New Roman" w:cs="Times New Roman"/>
          <w:sz w:val="24"/>
          <w:szCs w:val="24"/>
        </w:rPr>
        <w:t xml:space="preserve"> from Birmingham jail in 1963.</w:t>
      </w:r>
      <w:bookmarkStart w:id="0" w:name="_GoBack"/>
      <w:bookmarkEnd w:id="0"/>
      <w:r w:rsidR="00BE3718" w:rsidRPr="00CE46C6">
        <w:rPr>
          <w:rFonts w:ascii="Times New Roman" w:hAnsi="Times New Roman" w:cs="Times New Roman"/>
          <w:sz w:val="24"/>
          <w:szCs w:val="24"/>
        </w:rPr>
        <w:t xml:space="preserve"> The primary purpose of this letter was to safeguard the approach for the diplomatic resistance towards racism (King Jr 1992). The letter argues that everybody poses a moral respo</w:t>
      </w:r>
      <w:r w:rsidR="00BE3718" w:rsidRPr="00CE46C6">
        <w:rPr>
          <w:rFonts w:ascii="Times New Roman" w:hAnsi="Times New Roman" w:cs="Times New Roman"/>
          <w:sz w:val="24"/>
          <w:szCs w:val="24"/>
        </w:rPr>
        <w:t>nsibility of breaking the unjust laws as well as taking immediate act other than waiting for justice to prevail by the courts. He wrote how the act of injustice poses a high level of threats to the action of fairness and openness. He wrote the letter durin</w:t>
      </w:r>
      <w:r w:rsidR="00BE3718" w:rsidRPr="00CE46C6">
        <w:rPr>
          <w:rFonts w:ascii="Times New Roman" w:hAnsi="Times New Roman" w:cs="Times New Roman"/>
          <w:sz w:val="24"/>
          <w:szCs w:val="24"/>
        </w:rPr>
        <w:t>g the time of campaigns in Birmingham, and that is why it is referred to as the Birmingham letter. Later on, the writing of Dr. Luther King became useful, especially to civil rights in America.</w:t>
      </w:r>
    </w:p>
    <w:p w:rsidR="00CE46C6" w:rsidRPr="00CE46C6" w:rsidRDefault="00BE3718" w:rsidP="00CE46C6">
      <w:pPr>
        <w:spacing w:line="480" w:lineRule="auto"/>
        <w:ind w:firstLine="720"/>
        <w:rPr>
          <w:rFonts w:ascii="Times New Roman" w:hAnsi="Times New Roman" w:cs="Times New Roman"/>
          <w:sz w:val="24"/>
          <w:szCs w:val="24"/>
        </w:rPr>
      </w:pPr>
      <w:r w:rsidRPr="00CE46C6">
        <w:rPr>
          <w:rFonts w:ascii="Times New Roman" w:hAnsi="Times New Roman" w:cs="Times New Roman"/>
          <w:sz w:val="24"/>
          <w:szCs w:val="24"/>
        </w:rPr>
        <w:t>The primary factor that compelled Luther King to write the let</w:t>
      </w:r>
      <w:r w:rsidRPr="00CE46C6">
        <w:rPr>
          <w:rFonts w:ascii="Times New Roman" w:hAnsi="Times New Roman" w:cs="Times New Roman"/>
          <w:sz w:val="24"/>
          <w:szCs w:val="24"/>
        </w:rPr>
        <w:t>ter was the harsh and unusual environmental state inside the Birmingham cell. It was then broadcasted on newspapers April 12, calling for the total unity, which was a statement from eight white Alabama of the clergy that was aimed against Dr. King's method</w:t>
      </w:r>
      <w:r w:rsidRPr="00CE46C6">
        <w:rPr>
          <w:rFonts w:ascii="Times New Roman" w:hAnsi="Times New Roman" w:cs="Times New Roman"/>
          <w:sz w:val="24"/>
          <w:szCs w:val="24"/>
        </w:rPr>
        <w:t>s. This letter provoked Dr. as he started to respond to the newspaper itself. He wrote, "why we cannot wait."</w:t>
      </w:r>
    </w:p>
    <w:p w:rsidR="00CE46C6" w:rsidRPr="00CE46C6" w:rsidRDefault="00BE3718" w:rsidP="00CE46C6">
      <w:pPr>
        <w:spacing w:line="480" w:lineRule="auto"/>
        <w:ind w:firstLine="720"/>
        <w:rPr>
          <w:rFonts w:ascii="Times New Roman" w:hAnsi="Times New Roman" w:cs="Times New Roman"/>
          <w:sz w:val="24"/>
          <w:szCs w:val="24"/>
        </w:rPr>
      </w:pPr>
      <w:r w:rsidRPr="00CE46C6">
        <w:rPr>
          <w:rFonts w:ascii="Times New Roman" w:hAnsi="Times New Roman" w:cs="Times New Roman"/>
          <w:sz w:val="24"/>
          <w:szCs w:val="24"/>
        </w:rPr>
        <w:t>When we put other commentators, they have noted that this letter distinguishes against the extremism understanding to be being a placement for a g</w:t>
      </w:r>
      <w:r w:rsidRPr="00CE46C6">
        <w:rPr>
          <w:rFonts w:ascii="Times New Roman" w:hAnsi="Times New Roman" w:cs="Times New Roman"/>
          <w:sz w:val="24"/>
          <w:szCs w:val="24"/>
        </w:rPr>
        <w:t>iven spectrum consisting of positions which extremist understand for the concept of greatness for sentence. Considering the principles of law, Luther King was not a revolutionist, but he was a dialect that is strengthened moderately. This was because Dr. L</w:t>
      </w:r>
      <w:r w:rsidRPr="00CE46C6">
        <w:rPr>
          <w:rFonts w:ascii="Times New Roman" w:hAnsi="Times New Roman" w:cs="Times New Roman"/>
          <w:sz w:val="24"/>
          <w:szCs w:val="24"/>
        </w:rPr>
        <w:t>uther's position was coming between constructive synthesizes the forces of antithetical violence and apathy. When we move to the second standard, the King becomes the extremist due to his passionate commitment principle of acting against and eradicating in</w:t>
      </w:r>
      <w:r w:rsidRPr="00CE46C6">
        <w:rPr>
          <w:rFonts w:ascii="Times New Roman" w:hAnsi="Times New Roman" w:cs="Times New Roman"/>
          <w:sz w:val="24"/>
          <w:szCs w:val="24"/>
        </w:rPr>
        <w:t xml:space="preserve">justice. However, this was a historical demonstration of the King to show the act of extremism that is currently used by law enforcers as well as the preservation of the cultural heritage. Therefore, his complete writing comes out to reflect a combination </w:t>
      </w:r>
      <w:r w:rsidRPr="00CE46C6">
        <w:rPr>
          <w:rFonts w:ascii="Times New Roman" w:hAnsi="Times New Roman" w:cs="Times New Roman"/>
          <w:sz w:val="24"/>
          <w:szCs w:val="24"/>
        </w:rPr>
        <w:t>of commitments and restraints, which considerably on the other side reflects on the personal life of the author as well as that character movement in which it is identified.</w:t>
      </w:r>
    </w:p>
    <w:p w:rsidR="00CE46C6" w:rsidRPr="00CE46C6" w:rsidRDefault="00BE3718" w:rsidP="00CE46C6">
      <w:pPr>
        <w:spacing w:line="480" w:lineRule="auto"/>
        <w:ind w:firstLine="720"/>
        <w:rPr>
          <w:rFonts w:ascii="Times New Roman" w:hAnsi="Times New Roman" w:cs="Times New Roman"/>
          <w:sz w:val="24"/>
          <w:szCs w:val="24"/>
        </w:rPr>
      </w:pPr>
      <w:r w:rsidRPr="00CE46C6">
        <w:rPr>
          <w:rFonts w:ascii="Times New Roman" w:hAnsi="Times New Roman" w:cs="Times New Roman"/>
          <w:sz w:val="24"/>
          <w:szCs w:val="24"/>
        </w:rPr>
        <w:t>There is also another feature that is noted in this text of the letter that when c</w:t>
      </w:r>
      <w:r w:rsidRPr="00CE46C6">
        <w:rPr>
          <w:rFonts w:ascii="Times New Roman" w:hAnsi="Times New Roman" w:cs="Times New Roman"/>
          <w:sz w:val="24"/>
          <w:szCs w:val="24"/>
        </w:rPr>
        <w:t>onfronted with a given extremism charge, the King reacts not by use of indignity or anger expression but due to disappointment. This kind of verbal restraint occurred again and again in the whole letter. Nevertheless, the reflection of the words used by Lu</w:t>
      </w:r>
      <w:r w:rsidRPr="00CE46C6">
        <w:rPr>
          <w:rFonts w:ascii="Times New Roman" w:hAnsi="Times New Roman" w:cs="Times New Roman"/>
          <w:sz w:val="24"/>
          <w:szCs w:val="24"/>
        </w:rPr>
        <w:t>ther the King in his writing is directly proportional to the real situation in the world, especially on law and justice. He also expressed a moderated reaction regarding the response of the ultimate protests. He tried to pass a piece of advice to African A</w:t>
      </w:r>
      <w:r w:rsidRPr="00CE46C6">
        <w:rPr>
          <w:rFonts w:ascii="Times New Roman" w:hAnsi="Times New Roman" w:cs="Times New Roman"/>
          <w:sz w:val="24"/>
          <w:szCs w:val="24"/>
        </w:rPr>
        <w:t>mericans by reminding the readers that they should wait at least 340 years concerning their rights for which they are not growing impatient (King Jr 1992).</w:t>
      </w:r>
    </w:p>
    <w:p w:rsidR="00CE46C6" w:rsidRPr="00CE46C6" w:rsidRDefault="00BE3718" w:rsidP="00CE46C6">
      <w:pPr>
        <w:spacing w:line="480" w:lineRule="auto"/>
        <w:ind w:firstLine="720"/>
        <w:rPr>
          <w:rFonts w:ascii="Times New Roman" w:hAnsi="Times New Roman" w:cs="Times New Roman"/>
          <w:sz w:val="24"/>
          <w:szCs w:val="24"/>
        </w:rPr>
      </w:pPr>
      <w:r w:rsidRPr="00CE46C6">
        <w:rPr>
          <w:rFonts w:ascii="Times New Roman" w:hAnsi="Times New Roman" w:cs="Times New Roman"/>
          <w:sz w:val="24"/>
          <w:szCs w:val="24"/>
        </w:rPr>
        <w:t>The other restraint is about the extension of the period of the sentence that created a high level o</w:t>
      </w:r>
      <w:r w:rsidRPr="00CE46C6">
        <w:rPr>
          <w:rFonts w:ascii="Times New Roman" w:hAnsi="Times New Roman" w:cs="Times New Roman"/>
          <w:sz w:val="24"/>
          <w:szCs w:val="24"/>
        </w:rPr>
        <w:t>f tension. This represents the concerning bigotry that was expected to end an outrage of anger and as well the allegation alongside the people that requested Dr. King Luther and his followers to hold on. Due to this, the highpoint is achieved through an in</w:t>
      </w:r>
      <w:r w:rsidRPr="00CE46C6">
        <w:rPr>
          <w:rFonts w:ascii="Times New Roman" w:hAnsi="Times New Roman" w:cs="Times New Roman"/>
          <w:sz w:val="24"/>
          <w:szCs w:val="24"/>
        </w:rPr>
        <w:t>conspicuous statement to the audience, of which the majority were the whites. The statement revealed how Dr. Luther King and his people found it extremely tough to hold on. For instance, the issue of inconspicuous comments assisted in heightening expressiv</w:t>
      </w:r>
      <w:r w:rsidRPr="00CE46C6">
        <w:rPr>
          <w:rFonts w:ascii="Times New Roman" w:hAnsi="Times New Roman" w:cs="Times New Roman"/>
          <w:sz w:val="24"/>
          <w:szCs w:val="24"/>
        </w:rPr>
        <w:t>e influence based on the act of sentencing.  Also, it was a remarkable enactment towards the limitation of the King.</w:t>
      </w:r>
    </w:p>
    <w:p w:rsidR="00CE46C6" w:rsidRPr="00CE46C6" w:rsidRDefault="00BE3718" w:rsidP="00CE46C6">
      <w:pPr>
        <w:spacing w:line="480" w:lineRule="auto"/>
        <w:ind w:firstLine="720"/>
        <w:rPr>
          <w:rFonts w:ascii="Times New Roman" w:hAnsi="Times New Roman" w:cs="Times New Roman"/>
          <w:sz w:val="24"/>
          <w:szCs w:val="24"/>
        </w:rPr>
      </w:pPr>
      <w:r w:rsidRPr="00CE46C6">
        <w:rPr>
          <w:rFonts w:ascii="Times New Roman" w:hAnsi="Times New Roman" w:cs="Times New Roman"/>
          <w:sz w:val="24"/>
          <w:szCs w:val="24"/>
        </w:rPr>
        <w:t xml:space="preserve">When the letter comes to an end on page 98-99, the composed another long sentence, which sets forth many series concerning grievances, </w:t>
      </w:r>
      <w:r w:rsidRPr="00CE46C6">
        <w:rPr>
          <w:rFonts w:ascii="Times New Roman" w:hAnsi="Times New Roman" w:cs="Times New Roman"/>
          <w:sz w:val="24"/>
          <w:szCs w:val="24"/>
        </w:rPr>
        <w:t>which are lather paired to short sentences, which shows a restraint view for the right kind of address. The sentence does not become long, like the one that is quoted above or to be in a periodic form. As well this becomes aptly models restraints of King.</w:t>
      </w:r>
    </w:p>
    <w:p w:rsidR="00CE46C6" w:rsidRPr="00CE46C6" w:rsidRDefault="00BE3718" w:rsidP="00CE46C6">
      <w:pPr>
        <w:spacing w:line="480" w:lineRule="auto"/>
        <w:ind w:firstLine="720"/>
        <w:rPr>
          <w:rFonts w:ascii="Times New Roman" w:hAnsi="Times New Roman" w:cs="Times New Roman"/>
          <w:sz w:val="24"/>
          <w:szCs w:val="24"/>
        </w:rPr>
      </w:pPr>
      <w:r w:rsidRPr="00CE46C6">
        <w:rPr>
          <w:rFonts w:ascii="Times New Roman" w:hAnsi="Times New Roman" w:cs="Times New Roman"/>
          <w:sz w:val="24"/>
          <w:szCs w:val="24"/>
        </w:rPr>
        <w:t>As an illusion figure of speech is that the reference is referred to like someone or something but all in an indirect manner. For example, when you call someone, a Good Samaritan is an illusion of biblical context. Thus the author will not take much time t</w:t>
      </w:r>
      <w:r w:rsidRPr="00CE46C6">
        <w:rPr>
          <w:rFonts w:ascii="Times New Roman" w:hAnsi="Times New Roman" w:cs="Times New Roman"/>
          <w:sz w:val="24"/>
          <w:szCs w:val="24"/>
        </w:rPr>
        <w:t>o go into detail who is the Good Samaritan or what does he or she means simply because he assumes the audience is aware of what or whom he refers (King Jr 1992).</w:t>
      </w:r>
    </w:p>
    <w:p w:rsidR="00CE46C6" w:rsidRPr="00CE46C6" w:rsidRDefault="00BE3718" w:rsidP="00CE46C6">
      <w:pPr>
        <w:spacing w:line="480" w:lineRule="auto"/>
        <w:ind w:firstLine="720"/>
        <w:rPr>
          <w:rFonts w:ascii="Times New Roman" w:hAnsi="Times New Roman" w:cs="Times New Roman"/>
          <w:sz w:val="24"/>
          <w:szCs w:val="24"/>
        </w:rPr>
      </w:pPr>
      <w:r w:rsidRPr="00CE46C6">
        <w:rPr>
          <w:rFonts w:ascii="Times New Roman" w:hAnsi="Times New Roman" w:cs="Times New Roman"/>
          <w:sz w:val="24"/>
          <w:szCs w:val="24"/>
        </w:rPr>
        <w:t>In the letter of Dr. King, Dr. alludes, about some biblical figures. For instance, he used Sha</w:t>
      </w:r>
      <w:r w:rsidRPr="00CE46C6">
        <w:rPr>
          <w:rFonts w:ascii="Times New Roman" w:hAnsi="Times New Roman" w:cs="Times New Roman"/>
          <w:sz w:val="24"/>
          <w:szCs w:val="24"/>
        </w:rPr>
        <w:t>drach, Abednego, and Meshach. Dr. mainly alludes to support his arguments to make his letter persuasive. He goes ahead to create a connection between the biblical figures' actions and his actions (King Jr 1992). This was when he claimed that just like them</w:t>
      </w:r>
      <w:r w:rsidRPr="00CE46C6">
        <w:rPr>
          <w:rFonts w:ascii="Times New Roman" w:hAnsi="Times New Roman" w:cs="Times New Roman"/>
          <w:sz w:val="24"/>
          <w:szCs w:val="24"/>
        </w:rPr>
        <w:t xml:space="preserve"> when subjected to similar circumstances, thus concluded that civil disobedience was much necessary. Dr. claimed that those figures and he choose to go against the law for the intention that higher laws of morals wouldn't be broken. This was due to that hi</w:t>
      </w:r>
      <w:r w:rsidRPr="00CE46C6">
        <w:rPr>
          <w:rFonts w:ascii="Times New Roman" w:hAnsi="Times New Roman" w:cs="Times New Roman"/>
          <w:sz w:val="24"/>
          <w:szCs w:val="24"/>
        </w:rPr>
        <w:t xml:space="preserve">s subjects of audience constituted mainly Christians. As such, they will grasp that the laws of God were much stronger compared to that of man. </w:t>
      </w:r>
    </w:p>
    <w:p w:rsidR="00CE46C6" w:rsidRPr="00CE46C6" w:rsidRDefault="00BE3718" w:rsidP="00CE46C6">
      <w:pPr>
        <w:spacing w:line="480" w:lineRule="auto"/>
        <w:ind w:firstLine="720"/>
        <w:rPr>
          <w:rFonts w:ascii="Times New Roman" w:hAnsi="Times New Roman" w:cs="Times New Roman"/>
          <w:sz w:val="24"/>
          <w:szCs w:val="24"/>
        </w:rPr>
      </w:pPr>
      <w:r w:rsidRPr="00CE46C6">
        <w:rPr>
          <w:rFonts w:ascii="Times New Roman" w:hAnsi="Times New Roman" w:cs="Times New Roman"/>
          <w:sz w:val="24"/>
          <w:szCs w:val="24"/>
        </w:rPr>
        <w:t>There comes anything new concerning this kind of disobedience for civil. It was being seen to be sublimely base</w:t>
      </w:r>
      <w:r w:rsidRPr="00CE46C6">
        <w:rPr>
          <w:rFonts w:ascii="Times New Roman" w:hAnsi="Times New Roman" w:cs="Times New Roman"/>
          <w:sz w:val="24"/>
          <w:szCs w:val="24"/>
        </w:rPr>
        <w:t>d on the refusal of Meshach, Abednego, and Shadrach towards obeying the laws of Nebuchadnezzar since the high morals which were being involved. This was superbly forming the earlier Christians who came out willingly to face lions that were hungry as well a</w:t>
      </w:r>
      <w:r w:rsidRPr="00CE46C6">
        <w:rPr>
          <w:rFonts w:ascii="Times New Roman" w:hAnsi="Times New Roman" w:cs="Times New Roman"/>
          <w:sz w:val="24"/>
          <w:szCs w:val="24"/>
        </w:rPr>
        <w:t>s excruciating pain for chopping blocks. This was before they were submitted to a given unjust law based on the Empire of Roman. In our current society, academic sovereignty is seen as a dash of realism because even the other scholars like the Socrates use</w:t>
      </w:r>
      <w:r w:rsidRPr="00CE46C6">
        <w:rPr>
          <w:rFonts w:ascii="Times New Roman" w:hAnsi="Times New Roman" w:cs="Times New Roman"/>
          <w:sz w:val="24"/>
          <w:szCs w:val="24"/>
        </w:rPr>
        <w:t>d to practice disobedience as this is repeated severally by Dr. King Luther in his writing.</w:t>
      </w:r>
    </w:p>
    <w:p w:rsidR="00CE46C6" w:rsidRPr="00CE46C6" w:rsidRDefault="00BE3718" w:rsidP="00CE46C6">
      <w:pPr>
        <w:spacing w:line="480" w:lineRule="auto"/>
        <w:ind w:firstLine="720"/>
        <w:rPr>
          <w:rFonts w:ascii="Times New Roman" w:hAnsi="Times New Roman" w:cs="Times New Roman"/>
          <w:sz w:val="24"/>
          <w:szCs w:val="24"/>
        </w:rPr>
      </w:pPr>
      <w:r w:rsidRPr="00CE46C6">
        <w:rPr>
          <w:rFonts w:ascii="Times New Roman" w:hAnsi="Times New Roman" w:cs="Times New Roman"/>
          <w:sz w:val="24"/>
          <w:szCs w:val="24"/>
        </w:rPr>
        <w:t>Dr. King distinguishes between the just and unjust laws. This is because of the characteristic of law, which can either be just or unjust. He added the pieces of ad</w:t>
      </w:r>
      <w:r w:rsidRPr="00CE46C6">
        <w:rPr>
          <w:rFonts w:ascii="Times New Roman" w:hAnsi="Times New Roman" w:cs="Times New Roman"/>
          <w:sz w:val="24"/>
          <w:szCs w:val="24"/>
        </w:rPr>
        <w:t>vice to the audience and readers to obey the just laws, and this is simply because of the constitutional right that is legal and also as a way of expressing ethical obligations. On the other side, everyone has the right to disobey all acts of laws that are</w:t>
      </w:r>
      <w:r w:rsidRPr="00CE46C6">
        <w:rPr>
          <w:rFonts w:ascii="Times New Roman" w:hAnsi="Times New Roman" w:cs="Times New Roman"/>
          <w:sz w:val="24"/>
          <w:szCs w:val="24"/>
        </w:rPr>
        <w:t xml:space="preserve"> not justice. Later on, Dr. Luther King agreed with other scholars that unjust laws are not laws at all. This is the most critical aspect that Dr. King distinguished between justice and injustice in law (King Jr 1992).</w:t>
      </w:r>
    </w:p>
    <w:p w:rsidR="00CE46C6" w:rsidRPr="00CE46C6" w:rsidRDefault="00BE3718" w:rsidP="00CE46C6">
      <w:pPr>
        <w:spacing w:line="480" w:lineRule="auto"/>
        <w:rPr>
          <w:rFonts w:ascii="Times New Roman" w:hAnsi="Times New Roman" w:cs="Times New Roman"/>
          <w:sz w:val="24"/>
          <w:szCs w:val="24"/>
        </w:rPr>
      </w:pPr>
      <w:r w:rsidRPr="00CE46C6">
        <w:rPr>
          <w:rFonts w:ascii="Times New Roman" w:hAnsi="Times New Roman" w:cs="Times New Roman"/>
          <w:sz w:val="24"/>
          <w:szCs w:val="24"/>
        </w:rPr>
        <w:t> </w:t>
      </w:r>
    </w:p>
    <w:p w:rsidR="00CE46C6" w:rsidRPr="00CE46C6" w:rsidRDefault="00CE46C6" w:rsidP="00CE46C6">
      <w:pPr>
        <w:spacing w:line="480" w:lineRule="auto"/>
        <w:rPr>
          <w:rFonts w:ascii="Times New Roman" w:hAnsi="Times New Roman" w:cs="Times New Roman"/>
          <w:sz w:val="24"/>
          <w:szCs w:val="24"/>
        </w:rPr>
      </w:pPr>
    </w:p>
    <w:p w:rsidR="00CE46C6" w:rsidRPr="00CE46C6" w:rsidRDefault="00CE46C6" w:rsidP="00CE46C6">
      <w:pPr>
        <w:spacing w:line="480" w:lineRule="auto"/>
        <w:rPr>
          <w:rFonts w:ascii="Times New Roman" w:hAnsi="Times New Roman" w:cs="Times New Roman"/>
          <w:sz w:val="24"/>
          <w:szCs w:val="24"/>
        </w:rPr>
      </w:pPr>
    </w:p>
    <w:p w:rsidR="00CE46C6" w:rsidRPr="00CE46C6" w:rsidRDefault="00CE46C6" w:rsidP="00CE46C6">
      <w:pPr>
        <w:spacing w:line="480" w:lineRule="auto"/>
        <w:rPr>
          <w:rFonts w:ascii="Times New Roman" w:hAnsi="Times New Roman" w:cs="Times New Roman"/>
          <w:sz w:val="24"/>
          <w:szCs w:val="24"/>
        </w:rPr>
      </w:pPr>
    </w:p>
    <w:p w:rsidR="00CE46C6" w:rsidRPr="00CE46C6" w:rsidRDefault="00CE46C6" w:rsidP="00CE46C6">
      <w:pPr>
        <w:spacing w:line="480" w:lineRule="auto"/>
        <w:rPr>
          <w:rFonts w:ascii="Times New Roman" w:hAnsi="Times New Roman" w:cs="Times New Roman"/>
          <w:sz w:val="24"/>
          <w:szCs w:val="24"/>
        </w:rPr>
      </w:pPr>
    </w:p>
    <w:p w:rsidR="00CE46C6" w:rsidRDefault="00CE46C6" w:rsidP="00CE46C6">
      <w:pPr>
        <w:spacing w:line="480" w:lineRule="auto"/>
        <w:rPr>
          <w:rFonts w:ascii="Times New Roman" w:hAnsi="Times New Roman" w:cs="Times New Roman"/>
          <w:sz w:val="24"/>
          <w:szCs w:val="24"/>
        </w:rPr>
      </w:pPr>
    </w:p>
    <w:p w:rsidR="00CE46C6" w:rsidRDefault="00CE46C6" w:rsidP="00CE46C6">
      <w:pPr>
        <w:spacing w:line="480" w:lineRule="auto"/>
        <w:rPr>
          <w:rFonts w:ascii="Times New Roman" w:hAnsi="Times New Roman" w:cs="Times New Roman"/>
          <w:sz w:val="24"/>
          <w:szCs w:val="24"/>
        </w:rPr>
      </w:pPr>
    </w:p>
    <w:p w:rsidR="00CE46C6" w:rsidRDefault="00CE46C6" w:rsidP="00CE46C6">
      <w:pPr>
        <w:spacing w:line="480" w:lineRule="auto"/>
        <w:rPr>
          <w:rFonts w:ascii="Times New Roman" w:hAnsi="Times New Roman" w:cs="Times New Roman"/>
          <w:sz w:val="24"/>
          <w:szCs w:val="24"/>
        </w:rPr>
      </w:pPr>
    </w:p>
    <w:p w:rsidR="00CE46C6" w:rsidRDefault="00CE46C6" w:rsidP="00CE46C6">
      <w:pPr>
        <w:spacing w:line="480" w:lineRule="auto"/>
        <w:rPr>
          <w:rFonts w:ascii="Times New Roman" w:hAnsi="Times New Roman" w:cs="Times New Roman"/>
          <w:sz w:val="24"/>
          <w:szCs w:val="24"/>
        </w:rPr>
      </w:pPr>
    </w:p>
    <w:p w:rsidR="00CE46C6" w:rsidRDefault="00CE46C6" w:rsidP="00CE46C6">
      <w:pPr>
        <w:spacing w:line="480" w:lineRule="auto"/>
        <w:rPr>
          <w:rFonts w:ascii="Times New Roman" w:hAnsi="Times New Roman" w:cs="Times New Roman"/>
          <w:sz w:val="24"/>
          <w:szCs w:val="24"/>
        </w:rPr>
      </w:pPr>
    </w:p>
    <w:p w:rsidR="00CE46C6" w:rsidRDefault="00CE46C6" w:rsidP="00CE46C6">
      <w:pPr>
        <w:spacing w:line="480" w:lineRule="auto"/>
        <w:rPr>
          <w:rFonts w:ascii="Times New Roman" w:hAnsi="Times New Roman" w:cs="Times New Roman"/>
          <w:sz w:val="24"/>
          <w:szCs w:val="24"/>
        </w:rPr>
      </w:pPr>
    </w:p>
    <w:p w:rsidR="00CE46C6" w:rsidRDefault="00CE46C6" w:rsidP="00CE46C6">
      <w:pPr>
        <w:spacing w:line="480" w:lineRule="auto"/>
        <w:rPr>
          <w:rFonts w:ascii="Times New Roman" w:hAnsi="Times New Roman" w:cs="Times New Roman"/>
          <w:sz w:val="24"/>
          <w:szCs w:val="24"/>
        </w:rPr>
      </w:pPr>
    </w:p>
    <w:p w:rsidR="00CE46C6" w:rsidRPr="00CE46C6" w:rsidRDefault="00CE46C6" w:rsidP="00CE46C6">
      <w:pPr>
        <w:spacing w:line="480" w:lineRule="auto"/>
        <w:rPr>
          <w:rFonts w:ascii="Times New Roman" w:hAnsi="Times New Roman" w:cs="Times New Roman"/>
          <w:sz w:val="24"/>
          <w:szCs w:val="24"/>
        </w:rPr>
      </w:pPr>
    </w:p>
    <w:p w:rsidR="00CE46C6" w:rsidRPr="00CE46C6" w:rsidRDefault="00BE3718" w:rsidP="00CE46C6">
      <w:pPr>
        <w:spacing w:line="480" w:lineRule="auto"/>
        <w:jc w:val="center"/>
        <w:rPr>
          <w:rFonts w:ascii="Times New Roman" w:hAnsi="Times New Roman" w:cs="Times New Roman"/>
          <w:b/>
          <w:sz w:val="24"/>
          <w:szCs w:val="24"/>
        </w:rPr>
      </w:pPr>
      <w:r w:rsidRPr="00CE46C6">
        <w:rPr>
          <w:rFonts w:ascii="Times New Roman" w:hAnsi="Times New Roman" w:cs="Times New Roman"/>
          <w:b/>
          <w:sz w:val="24"/>
          <w:szCs w:val="24"/>
        </w:rPr>
        <w:t>References</w:t>
      </w:r>
    </w:p>
    <w:p w:rsidR="005C23C4" w:rsidRPr="00CE46C6" w:rsidRDefault="00BE3718" w:rsidP="00CE46C6">
      <w:pPr>
        <w:spacing w:line="480" w:lineRule="auto"/>
        <w:rPr>
          <w:rFonts w:ascii="Times New Roman" w:hAnsi="Times New Roman" w:cs="Times New Roman"/>
          <w:sz w:val="24"/>
          <w:szCs w:val="24"/>
        </w:rPr>
      </w:pPr>
      <w:r w:rsidRPr="00CE46C6">
        <w:rPr>
          <w:rFonts w:ascii="Times New Roman" w:hAnsi="Times New Roman" w:cs="Times New Roman"/>
          <w:sz w:val="24"/>
          <w:szCs w:val="24"/>
        </w:rPr>
        <w:t xml:space="preserve">King Jr, M. </w:t>
      </w:r>
      <w:r w:rsidRPr="00CE46C6">
        <w:rPr>
          <w:rFonts w:ascii="Times New Roman" w:hAnsi="Times New Roman" w:cs="Times New Roman"/>
          <w:sz w:val="24"/>
          <w:szCs w:val="24"/>
        </w:rPr>
        <w:t>L. (1992). Letter from Birmingham jail. UC Davis L. Rev., 26, 835.</w:t>
      </w:r>
    </w:p>
    <w:sectPr w:rsidR="005C23C4" w:rsidRPr="00CE46C6" w:rsidSect="00CE46C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3718" w:rsidRDefault="00BE3718">
      <w:pPr>
        <w:spacing w:after="0" w:line="240" w:lineRule="auto"/>
      </w:pPr>
      <w:r>
        <w:separator/>
      </w:r>
    </w:p>
  </w:endnote>
  <w:endnote w:type="continuationSeparator" w:id="0">
    <w:p w:rsidR="00BE3718" w:rsidRDefault="00BE3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3718" w:rsidRDefault="00BE3718">
      <w:pPr>
        <w:spacing w:after="0" w:line="240" w:lineRule="auto"/>
      </w:pPr>
      <w:r>
        <w:separator/>
      </w:r>
    </w:p>
  </w:footnote>
  <w:footnote w:type="continuationSeparator" w:id="0">
    <w:p w:rsidR="00BE3718" w:rsidRDefault="00BE37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46C6" w:rsidRPr="00CE46C6" w:rsidRDefault="00BE3718">
    <w:pPr>
      <w:pStyle w:val="Header"/>
      <w:rPr>
        <w:rFonts w:ascii="Times New Roman" w:hAnsi="Times New Roman" w:cs="Times New Roman"/>
        <w:sz w:val="24"/>
        <w:szCs w:val="24"/>
      </w:rPr>
    </w:pPr>
    <w:r w:rsidRPr="00CE46C6">
      <w:rPr>
        <w:rFonts w:ascii="Times New Roman" w:hAnsi="Times New Roman" w:cs="Times New Roman"/>
        <w:sz w:val="24"/>
        <w:szCs w:val="24"/>
      </w:rPr>
      <w:t>Birmingham</w:t>
    </w:r>
    <w:r>
      <w:rPr>
        <w:rFonts w:ascii="Times New Roman" w:hAnsi="Times New Roman" w:cs="Times New Roman"/>
        <w:sz w:val="24"/>
        <w:szCs w:val="24"/>
      </w:rPr>
      <w:t xml:space="preserve"> Jail</w:t>
    </w:r>
    <w:r w:rsidR="009E1E91">
      <w:rPr>
        <w:rFonts w:ascii="Times New Roman" w:hAnsi="Times New Roman" w:cs="Times New Roman"/>
        <w:sz w:val="24"/>
        <w:szCs w:val="24"/>
      </w:rPr>
      <w:t xml:space="preserve"> Letter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46C6" w:rsidRPr="00CE46C6" w:rsidRDefault="009E1E91">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BE3718" w:rsidRPr="00CE46C6">
      <w:rPr>
        <w:rFonts w:ascii="Times New Roman" w:hAnsi="Times New Roman" w:cs="Times New Roman"/>
        <w:sz w:val="24"/>
        <w:szCs w:val="24"/>
      </w:rPr>
      <w:t>Birmingham</w:t>
    </w:r>
    <w:r>
      <w:rPr>
        <w:rFonts w:ascii="Times New Roman" w:hAnsi="Times New Roman" w:cs="Times New Roman"/>
        <w:sz w:val="24"/>
        <w:szCs w:val="24"/>
      </w:rPr>
      <w:t xml:space="preserve"> Jail Letter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6C6"/>
    <w:rsid w:val="004C751C"/>
    <w:rsid w:val="005C23C4"/>
    <w:rsid w:val="00946B62"/>
    <w:rsid w:val="009E1E91"/>
    <w:rsid w:val="00BE3718"/>
    <w:rsid w:val="00CE46C6"/>
    <w:rsid w:val="00F01CD2"/>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3928FF-57B5-4CFB-92AD-547BF5A6E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46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6C6"/>
  </w:style>
  <w:style w:type="paragraph" w:styleId="Footer">
    <w:name w:val="footer"/>
    <w:basedOn w:val="Normal"/>
    <w:link w:val="FooterChar"/>
    <w:uiPriority w:val="99"/>
    <w:unhideWhenUsed/>
    <w:rsid w:val="00CE46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6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1022</Words>
  <Characters>5828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2019-12-10T22:42:00Z</dcterms:created>
  <dcterms:modified xsi:type="dcterms:W3CDTF">2019-12-10T22:42:00Z</dcterms:modified>
</cp:coreProperties>
</file>